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4963"/>
        <w:gridCol w:w="1592"/>
        <w:gridCol w:w="2086"/>
        <w:gridCol w:w="222"/>
        <w:gridCol w:w="222"/>
      </w:tblGrid>
      <w:tr w:rsidR="00BC699A" w:rsidRPr="00475D5F" w:rsidTr="005A5248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</w:tcPr>
          <w:p w:rsidR="00BC699A" w:rsidRDefault="00BC699A" w:rsidP="005A52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99A" w:rsidRDefault="00BC699A" w:rsidP="005A5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5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предложенные Рабочей группой для включения в отчеты о реализации Планов мероприятий вузов-победителей (пункт 3 раздел 2 протокола от 26.11.2014 г. № АП-32/02пр)</w:t>
            </w:r>
          </w:p>
          <w:p w:rsidR="00BC699A" w:rsidRPr="00475D5F" w:rsidRDefault="00BC699A" w:rsidP="00BC69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Таблица 2</w:t>
            </w:r>
            <w:bookmarkStart w:id="0" w:name="_GoBack"/>
            <w:bookmarkEnd w:id="0"/>
          </w:p>
          <w:p w:rsidR="00BC699A" w:rsidRPr="00475D5F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699A" w:rsidRPr="00475D5F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99A" w:rsidRPr="00475D5F" w:rsidTr="005A5248">
        <w:trPr>
          <w:gridAfter w:val="1"/>
          <w:tblHeader/>
        </w:trPr>
        <w:tc>
          <w:tcPr>
            <w:tcW w:w="0" w:type="auto"/>
          </w:tcPr>
          <w:p w:rsidR="00BC699A" w:rsidRPr="00DA76AA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6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</w:t>
            </w:r>
          </w:p>
        </w:tc>
        <w:tc>
          <w:tcPr>
            <w:tcW w:w="0" w:type="auto"/>
          </w:tcPr>
          <w:p w:rsidR="00BC699A" w:rsidRPr="00DA76AA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6A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</w:tcPr>
          <w:p w:rsidR="00BC699A" w:rsidRPr="00DA76AA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6AA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0" w:type="auto"/>
          </w:tcPr>
          <w:p w:rsidR="00BC699A" w:rsidRPr="00DA76AA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6AA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Фактическое значение на 31.12.2017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699A" w:rsidRPr="00475D5F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99A" w:rsidRPr="00475D5F" w:rsidTr="005A5248">
        <w:trPr>
          <w:gridAfter w:val="1"/>
          <w:tblHeader/>
        </w:trPr>
        <w:tc>
          <w:tcPr>
            <w:tcW w:w="0" w:type="auto"/>
          </w:tcPr>
          <w:p w:rsidR="00BC699A" w:rsidRPr="00DA76AA" w:rsidRDefault="00BC699A" w:rsidP="005A52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6A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BC699A" w:rsidRPr="00DA76AA" w:rsidRDefault="00BC699A" w:rsidP="005A52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6A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BC699A" w:rsidRPr="00DA76AA" w:rsidRDefault="00BC699A" w:rsidP="005A52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6A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BC699A" w:rsidRPr="00DA76AA" w:rsidRDefault="00BC699A" w:rsidP="005A524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76A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699A" w:rsidRPr="00475D5F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99A" w:rsidRPr="00475D5F" w:rsidTr="005A5248">
        <w:trPr>
          <w:gridAfter w:val="1"/>
        </w:trPr>
        <w:tc>
          <w:tcPr>
            <w:tcW w:w="0" w:type="auto"/>
          </w:tcPr>
          <w:p w:rsidR="00BC699A" w:rsidRPr="00C02F2B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C699A" w:rsidRPr="00C02F2B" w:rsidRDefault="00BC699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Позиция в международном </w:t>
            </w:r>
            <w:proofErr w:type="gram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рейтинге</w:t>
            </w:r>
            <w:proofErr w:type="gram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  <w:proofErr w:type="spell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Ranking</w:t>
            </w:r>
            <w:proofErr w:type="spell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 (RUR) Позиция в ведущих мировых рейтингах, исключая рейтинги: </w:t>
            </w:r>
            <w:r w:rsidRPr="00C0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ARWU</w:t>
            </w: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QS</w:t>
            </w:r>
          </w:p>
        </w:tc>
        <w:tc>
          <w:tcPr>
            <w:tcW w:w="0" w:type="auto"/>
          </w:tcPr>
          <w:p w:rsidR="00BC699A" w:rsidRPr="00C02F2B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0" w:type="auto"/>
          </w:tcPr>
          <w:p w:rsidR="00BC699A" w:rsidRPr="00C02F2B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699A" w:rsidRPr="00475D5F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99A" w:rsidRPr="00475D5F" w:rsidTr="005A5248">
        <w:trPr>
          <w:gridAfter w:val="1"/>
        </w:trPr>
        <w:tc>
          <w:tcPr>
            <w:tcW w:w="0" w:type="auto"/>
          </w:tcPr>
          <w:p w:rsidR="00BC699A" w:rsidRPr="00C02F2B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C699A" w:rsidRPr="00C02F2B" w:rsidRDefault="00BC699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в базе данных </w:t>
            </w:r>
            <w:proofErr w:type="spell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 на 1 НПР за последний полный календарный год</w:t>
            </w:r>
          </w:p>
        </w:tc>
        <w:tc>
          <w:tcPr>
            <w:tcW w:w="0" w:type="auto"/>
          </w:tcPr>
          <w:p w:rsidR="00BC699A" w:rsidRPr="00C02F2B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BC699A" w:rsidRPr="00C02F2B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699A" w:rsidRPr="00475D5F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99A" w:rsidRPr="00475D5F" w:rsidTr="005A5248">
        <w:trPr>
          <w:gridAfter w:val="1"/>
        </w:trPr>
        <w:tc>
          <w:tcPr>
            <w:tcW w:w="0" w:type="auto"/>
          </w:tcPr>
          <w:p w:rsidR="00BC699A" w:rsidRPr="00C02F2B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C699A" w:rsidRPr="00C02F2B" w:rsidRDefault="00BC699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в базе данных </w:t>
            </w:r>
            <w:proofErr w:type="spell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 на 1 НПР за последний полный календарный год</w:t>
            </w:r>
          </w:p>
        </w:tc>
        <w:tc>
          <w:tcPr>
            <w:tcW w:w="0" w:type="auto"/>
          </w:tcPr>
          <w:p w:rsidR="00BC699A" w:rsidRPr="00C02F2B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BC699A" w:rsidRPr="00C02F2B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699A" w:rsidRPr="00475D5F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99A" w:rsidRPr="00475D5F" w:rsidTr="005A5248">
        <w:trPr>
          <w:gridAfter w:val="1"/>
        </w:trPr>
        <w:tc>
          <w:tcPr>
            <w:tcW w:w="0" w:type="auto"/>
          </w:tcPr>
          <w:p w:rsidR="00BC699A" w:rsidRPr="00C02F2B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C699A" w:rsidRPr="00C02F2B" w:rsidRDefault="00BC699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цитируемости за все последние полные календарные годы, начиная с 2013 года, на 1 НПР, рассчитываемый по совокупности публикаций, учтенных в базе данных </w:t>
            </w:r>
            <w:proofErr w:type="spell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 за все последние полные календарные годы, начиная с 2013 года</w:t>
            </w:r>
          </w:p>
        </w:tc>
        <w:tc>
          <w:tcPr>
            <w:tcW w:w="0" w:type="auto"/>
          </w:tcPr>
          <w:p w:rsidR="00BC699A" w:rsidRPr="00C02F2B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BC699A" w:rsidRPr="00C02F2B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699A" w:rsidRPr="00475D5F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99A" w:rsidRPr="00475D5F" w:rsidTr="005A5248">
        <w:trPr>
          <w:gridAfter w:val="1"/>
        </w:trPr>
        <w:tc>
          <w:tcPr>
            <w:tcW w:w="0" w:type="auto"/>
          </w:tcPr>
          <w:p w:rsidR="00BC699A" w:rsidRPr="00C02F2B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C699A" w:rsidRPr="00C02F2B" w:rsidRDefault="00BC699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цитируемости за все последние полные календарные годы, начиная с 2013 года, на 1 НПР, рассчитываемый по совокупности публикаций, учтенных в базе данных </w:t>
            </w:r>
            <w:proofErr w:type="spell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 за все последние полные календарные годы, начиная с 2013 года</w:t>
            </w:r>
          </w:p>
        </w:tc>
        <w:tc>
          <w:tcPr>
            <w:tcW w:w="0" w:type="auto"/>
          </w:tcPr>
          <w:p w:rsidR="00BC699A" w:rsidRPr="00C02F2B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BC699A" w:rsidRPr="00C02F2B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699A" w:rsidRPr="00475D5F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99A" w:rsidRPr="00475D5F" w:rsidTr="005A5248">
        <w:trPr>
          <w:gridAfter w:val="1"/>
        </w:trPr>
        <w:tc>
          <w:tcPr>
            <w:tcW w:w="0" w:type="auto"/>
          </w:tcPr>
          <w:p w:rsidR="00BC699A" w:rsidRPr="00C02F2B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C699A" w:rsidRPr="00C02F2B" w:rsidRDefault="00BC699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  <w:proofErr w:type="gramEnd"/>
            <w:r w:rsidRPr="00C02F2B">
              <w:rPr>
                <w:rFonts w:ascii="Times New Roman" w:hAnsi="Times New Roman" w:cs="Times New Roman"/>
                <w:sz w:val="24"/>
                <w:szCs w:val="24"/>
              </w:rPr>
              <w:t xml:space="preserve"> НПР, работающих по договорам гражданско-правового характера, за отчетный период</w:t>
            </w:r>
          </w:p>
        </w:tc>
        <w:tc>
          <w:tcPr>
            <w:tcW w:w="0" w:type="auto"/>
          </w:tcPr>
          <w:p w:rsidR="00BC699A" w:rsidRPr="00C02F2B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BC699A" w:rsidRPr="00C02F2B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699A" w:rsidRPr="00475D5F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99A" w:rsidRPr="00475D5F" w:rsidTr="005A5248">
        <w:trPr>
          <w:gridAfter w:val="1"/>
        </w:trPr>
        <w:tc>
          <w:tcPr>
            <w:tcW w:w="0" w:type="auto"/>
          </w:tcPr>
          <w:p w:rsidR="00BC699A" w:rsidRPr="00C02F2B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C699A" w:rsidRPr="00C02F2B" w:rsidRDefault="00BC699A" w:rsidP="005A5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Доля иностранных студентов и аспирантов, обучающихся по основным образовательным программам вуза (считается с учетом студентов из стран СНГ)</w:t>
            </w:r>
          </w:p>
        </w:tc>
        <w:tc>
          <w:tcPr>
            <w:tcW w:w="0" w:type="auto"/>
          </w:tcPr>
          <w:p w:rsidR="00BC699A" w:rsidRPr="00C02F2B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BC699A" w:rsidRPr="00C02F2B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F2B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699A" w:rsidRPr="00475D5F" w:rsidRDefault="00BC699A" w:rsidP="005A524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C56" w:rsidRDefault="00BC699A"/>
    <w:sectPr w:rsidR="00ED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6F8"/>
    <w:multiLevelType w:val="multilevel"/>
    <w:tmpl w:val="D0063216"/>
    <w:lvl w:ilvl="0">
      <w:start w:val="1"/>
      <w:numFmt w:val="bullet"/>
      <w:pStyle w:val="TableBulletAria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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pStyle w:val="ListBullet6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pStyle w:val="ListBullet7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7">
      <w:start w:val="1"/>
      <w:numFmt w:val="bullet"/>
      <w:pStyle w:val="ListBullet8"/>
      <w:lvlText w:val="◦"/>
      <w:lvlJc w:val="left"/>
      <w:pPr>
        <w:tabs>
          <w:tab w:val="num" w:pos="3175"/>
        </w:tabs>
        <w:ind w:left="3175" w:hanging="397"/>
      </w:pPr>
      <w:rPr>
        <w:rFonts w:ascii="Georgia" w:hAnsi="Georgia" w:hint="default"/>
      </w:rPr>
    </w:lvl>
    <w:lvl w:ilvl="8">
      <w:start w:val="1"/>
      <w:numFmt w:val="bullet"/>
      <w:pStyle w:val="ListBullet9"/>
      <w:lvlText w:val=""/>
      <w:lvlJc w:val="left"/>
      <w:pPr>
        <w:tabs>
          <w:tab w:val="num" w:pos="3572"/>
        </w:tabs>
        <w:ind w:left="3572" w:hanging="397"/>
      </w:pPr>
      <w:rPr>
        <w:rFonts w:ascii="Symbol" w:hAnsi="Symbol" w:hint="default"/>
      </w:rPr>
    </w:lvl>
  </w:abstractNum>
  <w:abstractNum w:abstractNumId="1">
    <w:nsid w:val="3C043180"/>
    <w:multiLevelType w:val="multilevel"/>
    <w:tmpl w:val="E09AEEDE"/>
    <w:lvl w:ilvl="0">
      <w:start w:val="1"/>
      <w:numFmt w:val="decimal"/>
      <w:pStyle w:val="ExhibitHeading1"/>
      <w:suff w:val="space"/>
      <w:lvlText w:val="Приложение %1. -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lvlText w:val="П 1.%2."/>
      <w:lvlJc w:val="left"/>
      <w:pPr>
        <w:ind w:left="5671" w:firstLine="0"/>
      </w:pPr>
      <w:rPr>
        <w:rFonts w:hint="default"/>
      </w:rPr>
    </w:lvl>
    <w:lvl w:ilvl="2">
      <w:start w:val="1"/>
      <w:numFmt w:val="decimal"/>
      <w:pStyle w:val="ExhibitHeading3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</w:rPr>
    </w:lvl>
    <w:lvl w:ilvl="3">
      <w:start w:val="1"/>
      <w:numFmt w:val="decimal"/>
      <w:pStyle w:val="ExhibitHeading4"/>
      <w:suff w:val="space"/>
      <w:lvlText w:val="%1.%2.%3.%4."/>
      <w:lvlJc w:val="left"/>
      <w:pPr>
        <w:ind w:left="0" w:firstLine="0"/>
      </w:pPr>
      <w:rPr>
        <w:rFonts w:asciiTheme="majorHAnsi" w:hAnsiTheme="majorHAnsi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">
    <w:nsid w:val="3CF411E1"/>
    <w:multiLevelType w:val="multilevel"/>
    <w:tmpl w:val="EAE63FF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">
    <w:nsid w:val="4B8F7E72"/>
    <w:multiLevelType w:val="multilevel"/>
    <w:tmpl w:val="F2AAEC48"/>
    <w:lvl w:ilvl="0">
      <w:start w:val="1"/>
      <w:numFmt w:val="decimal"/>
      <w:lvlText w:val="Приложение %1. - 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tabs>
          <w:tab w:val="num" w:pos="1644"/>
        </w:tabs>
        <w:ind w:left="1644" w:hanging="453"/>
      </w:pPr>
      <w:rPr>
        <w:rFonts w:asciiTheme="minorHAnsi" w:hAnsiTheme="minorHAnsi" w:hint="default"/>
      </w:rPr>
    </w:lvl>
    <w:lvl w:ilvl="4">
      <w:start w:val="1"/>
      <w:numFmt w:val="decimal"/>
      <w:pStyle w:val="50"/>
      <w:lvlText w:val="%5."/>
      <w:lvlJc w:val="left"/>
      <w:pPr>
        <w:tabs>
          <w:tab w:val="num" w:pos="1985"/>
        </w:tabs>
        <w:ind w:left="1985" w:hanging="341"/>
      </w:pPr>
      <w:rPr>
        <w:rFonts w:asciiTheme="minorHAnsi" w:hAnsiTheme="minorHAnsi"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decimal"/>
      <w:pStyle w:val="ListNumber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decimal"/>
      <w:pStyle w:val="ListNumber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decimal"/>
      <w:pStyle w:val="ListNumber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4">
    <w:nsid w:val="591B384E"/>
    <w:multiLevelType w:val="multilevel"/>
    <w:tmpl w:val="CA1AF08C"/>
    <w:lvl w:ilvl="0">
      <w:start w:val="1"/>
      <w:numFmt w:val="lowerRoman"/>
      <w:pStyle w:val="ListRoman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Roman6"/>
      <w:lvlText w:val="%6."/>
      <w:lvlJc w:val="left"/>
      <w:pPr>
        <w:tabs>
          <w:tab w:val="num" w:pos="2381"/>
        </w:tabs>
        <w:ind w:left="2382" w:hanging="397"/>
      </w:pPr>
      <w:rPr>
        <w:rFonts w:asciiTheme="minorHAnsi" w:hAnsiTheme="minorHAnsi" w:hint="default"/>
      </w:rPr>
    </w:lvl>
    <w:lvl w:ilvl="6">
      <w:start w:val="1"/>
      <w:numFmt w:val="lowerRoman"/>
      <w:pStyle w:val="ListRoman7"/>
      <w:lvlText w:val="%7."/>
      <w:lvlJc w:val="left"/>
      <w:pPr>
        <w:tabs>
          <w:tab w:val="num" w:pos="2778"/>
        </w:tabs>
        <w:ind w:left="2779" w:hanging="397"/>
      </w:pPr>
      <w:rPr>
        <w:rFonts w:asciiTheme="minorHAnsi" w:hAnsiTheme="minorHAnsi" w:hint="default"/>
      </w:rPr>
    </w:lvl>
    <w:lvl w:ilvl="7">
      <w:start w:val="1"/>
      <w:numFmt w:val="lowerRoman"/>
      <w:pStyle w:val="ListRoman8"/>
      <w:lvlText w:val="%8."/>
      <w:lvlJc w:val="left"/>
      <w:pPr>
        <w:tabs>
          <w:tab w:val="num" w:pos="3175"/>
        </w:tabs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Roman9"/>
      <w:lvlText w:val="%9."/>
      <w:lvlJc w:val="left"/>
      <w:pPr>
        <w:tabs>
          <w:tab w:val="num" w:pos="3572"/>
        </w:tabs>
        <w:ind w:left="3573" w:hanging="397"/>
      </w:pPr>
      <w:rPr>
        <w:rFonts w:asciiTheme="minorHAnsi" w:hAnsiTheme="minorHAnsi" w:hint="default"/>
      </w:rPr>
    </w:lvl>
  </w:abstractNum>
  <w:abstractNum w:abstractNumId="5">
    <w:nsid w:val="6C9C6C87"/>
    <w:multiLevelType w:val="multilevel"/>
    <w:tmpl w:val="F9445A90"/>
    <w:lvl w:ilvl="0">
      <w:start w:val="1"/>
      <w:numFmt w:val="lowerLetter"/>
      <w:pStyle w:val="ListAlpha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0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Alpha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lowerLetter"/>
      <w:pStyle w:val="ListAlpha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Alpha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lowerLetter"/>
      <w:pStyle w:val="ListAlpha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6">
    <w:nsid w:val="6E602E4C"/>
    <w:multiLevelType w:val="multilevel"/>
    <w:tmpl w:val="2FA8A094"/>
    <w:lvl w:ilvl="0">
      <w:start w:val="1"/>
      <w:numFmt w:val="decimal"/>
      <w:pStyle w:val="10"/>
      <w:suff w:val="space"/>
      <w:lvlText w:val="%1."/>
      <w:lvlJc w:val="left"/>
      <w:pPr>
        <w:ind w:left="533" w:hanging="533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45" w:hanging="777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742871BD"/>
    <w:multiLevelType w:val="multilevel"/>
    <w:tmpl w:val="3C0032DC"/>
    <w:lvl w:ilvl="0">
      <w:start w:val="1"/>
      <w:numFmt w:val="upperLetter"/>
      <w:pStyle w:val="AppendixHeading1"/>
      <w:suff w:val="space"/>
      <w:lvlText w:val="Appendix %1. -"/>
      <w:lvlJc w:val="left"/>
      <w:pPr>
        <w:ind w:left="533" w:hanging="533"/>
      </w:pPr>
      <w:rPr>
        <w:rFonts w:asciiTheme="minorHAnsi" w:hAnsiTheme="minorHAnsi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AppendixHeading3"/>
      <w:suff w:val="space"/>
      <w:lvlText w:val="%1.%2.%3.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pStyle w:val="AppendixHeading4"/>
      <w:suff w:val="space"/>
      <w:lvlText w:val="%1.%2.%3.%4.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9A"/>
    <w:rsid w:val="00300350"/>
    <w:rsid w:val="006B4087"/>
    <w:rsid w:val="00B2367C"/>
    <w:rsid w:val="00BC699A"/>
    <w:rsid w:val="00BE6CA8"/>
    <w:rsid w:val="00C53C59"/>
    <w:rsid w:val="00EF7D42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9A"/>
    <w:rPr>
      <w:rFonts w:eastAsiaTheme="minorEastAsia"/>
      <w:lang w:eastAsia="ru-RU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eastAsiaTheme="majorEastAsia" w:cstheme="majorBidi"/>
      <w:b/>
      <w:bCs/>
      <w:i/>
      <w:sz w:val="48"/>
      <w:szCs w:val="28"/>
      <w:lang w:eastAsia="en-US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eastAsiaTheme="majorEastAsia" w:cstheme="majorBidi"/>
      <w:b/>
      <w:bCs/>
      <w:i/>
      <w:color w:val="DC6900" w:themeColor="accent1"/>
      <w:sz w:val="32"/>
      <w:szCs w:val="26"/>
      <w:lang w:eastAsia="en-US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eastAsiaTheme="majorEastAsia" w:cstheme="majorBidi"/>
      <w:b/>
      <w:bCs/>
      <w:i/>
      <w:color w:val="DC6900" w:themeColor="accent1"/>
      <w:sz w:val="28"/>
      <w:lang w:eastAsia="en-US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eastAsiaTheme="majorEastAsia" w:cstheme="majorBidi"/>
      <w:bCs/>
      <w:i/>
      <w:iCs/>
      <w:color w:val="DC6900" w:themeColor="accent1"/>
      <w:sz w:val="28"/>
      <w:lang w:eastAsia="en-US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eastAsiaTheme="majorEastAsia" w:cstheme="majorBidi"/>
      <w:i/>
      <w:color w:val="DC6900" w:themeColor="text2"/>
      <w:sz w:val="24"/>
      <w:lang w:eastAsia="en-US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eastAsiaTheme="majorEastAsia" w:cstheme="majorBidi"/>
      <w:iCs/>
      <w:color w:val="DC6900" w:themeColor="text2"/>
      <w:sz w:val="24"/>
      <w:lang w:eastAsia="en-US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eastAsiaTheme="majorEastAsia" w:cstheme="majorBidi"/>
      <w:i/>
      <w:iCs/>
      <w:color w:val="404040" w:themeColor="text1" w:themeTint="BF"/>
      <w:sz w:val="20"/>
      <w:lang w:eastAsia="en-US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/>
      <w:i/>
      <w:noProof/>
      <w:color w:val="000000" w:themeColor="text1"/>
      <w:sz w:val="18"/>
      <w:szCs w:val="18"/>
      <w:lang w:eastAsia="en-US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eastAsiaTheme="minorHAnsi"/>
      <w:i/>
      <w:color w:val="FFFFFF" w:themeColor="background2"/>
      <w:sz w:val="48"/>
      <w:lang w:eastAsia="en-US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eastAsiaTheme="minorHAnsi"/>
      <w:b/>
      <w:i/>
      <w:color w:val="DC6900" w:themeColor="text2"/>
      <w:sz w:val="48"/>
      <w:lang w:eastAsia="en-US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eastAsiaTheme="minorHAnsi"/>
      <w:color w:val="000000" w:themeColor="text1"/>
      <w:lang w:eastAsia="en-US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eastAsiaTheme="minorHAnsi" w:cstheme="minorHAnsi"/>
      <w:color w:val="000000" w:themeColor="text1"/>
      <w:sz w:val="12"/>
      <w:szCs w:val="12"/>
      <w:lang w:eastAsia="en-US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/>
      <w:color w:val="00A5FF"/>
      <w:sz w:val="16"/>
      <w:lang w:eastAsia="en-US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eastAsiaTheme="minorHAnsi"/>
      <w:lang w:eastAsia="en-US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eastAsiaTheme="minorHAnsi"/>
      <w:lang w:eastAsia="en-US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eastAsiaTheme="minorHAnsi"/>
      <w:lang w:eastAsia="en-US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eastAsiaTheme="minorHAnsi"/>
      <w:lang w:eastAsia="en-US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eastAsiaTheme="minorHAnsi"/>
      <w:sz w:val="20"/>
      <w:lang w:eastAsia="en-US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eastAsiaTheme="minorHAnsi"/>
      <w:b/>
      <w:i/>
      <w:color w:val="DC6900" w:themeColor="text2"/>
      <w:sz w:val="32"/>
      <w:szCs w:val="32"/>
      <w:lang w:eastAsia="en-US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eastAsiaTheme="minorHAnsi"/>
      <w:b/>
      <w:i/>
      <w:color w:val="DC6900" w:themeColor="text2"/>
      <w:sz w:val="28"/>
      <w:szCs w:val="28"/>
      <w:lang w:eastAsia="en-US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eastAsiaTheme="minorHAnsi"/>
      <w:i/>
      <w:color w:val="DC6900" w:themeColor="text2"/>
      <w:sz w:val="28"/>
      <w:szCs w:val="28"/>
      <w:lang w:eastAsia="en-US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eastAsiaTheme="minorHAnsi"/>
      <w:i/>
      <w:sz w:val="18"/>
      <w:lang w:eastAsia="en-US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eastAsiaTheme="minorHAnsi"/>
      <w:sz w:val="48"/>
      <w:lang w:eastAsia="en-US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eastAsiaTheme="minorHAnsi"/>
      <w:i/>
      <w:color w:val="DC6900" w:themeColor="text2"/>
      <w:sz w:val="24"/>
      <w:szCs w:val="24"/>
      <w:lang w:eastAsia="en-US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eastAsiaTheme="minorHAnsi"/>
      <w:b/>
      <w:i/>
      <w:color w:val="DC6900" w:themeColor="text2"/>
      <w:sz w:val="28"/>
      <w:lang w:eastAsia="en-US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 w:cs="Times New Roman"/>
      <w:sz w:val="18"/>
      <w:szCs w:val="20"/>
      <w:lang w:val="en-CA" w:eastAsia="en-US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eastAsia="Times New Roman" w:cs="Times New Roman"/>
      <w:sz w:val="20"/>
      <w:szCs w:val="20"/>
      <w:lang w:eastAsia="en-US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 w:cs="Times New Roman"/>
      <w:szCs w:val="20"/>
      <w:lang w:eastAsia="en-US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 w:cs="Times New Roman"/>
      <w:b/>
      <w:color w:val="DC6900" w:themeColor="accent1"/>
      <w:szCs w:val="20"/>
      <w:lang w:eastAsia="en-US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eastAsiaTheme="minorHAnsi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eastAsiaTheme="minorHAnsi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/>
      <w:color w:val="000000" w:themeColor="text1"/>
      <w:sz w:val="16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eastAsiaTheme="minorHAnsi"/>
      <w:b/>
      <w:bCs/>
      <w:color w:val="DC6900" w:themeColor="accent1"/>
      <w:szCs w:val="18"/>
      <w:lang w:eastAsia="en-US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eastAsiaTheme="minorHAnsi"/>
      <w:lang w:eastAsia="en-US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eastAsiaTheme="minorHAnsi"/>
      <w:lang w:eastAsia="en-US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  <w:lang w:eastAsia="en-US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  <w:lang w:eastAsia="en-US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eastAsiaTheme="minorHAnsi"/>
      <w:sz w:val="20"/>
      <w:lang w:eastAsia="en-US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/>
      <w:i/>
      <w:iCs/>
      <w:color w:val="000000" w:themeColor="text1"/>
      <w:sz w:val="20"/>
      <w:lang w:eastAsia="en-US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/>
      <w:b/>
      <w:bCs/>
      <w:i/>
      <w:iCs/>
      <w:color w:val="DC6900" w:themeColor="accent1"/>
      <w:sz w:val="20"/>
      <w:lang w:eastAsia="en-US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9A"/>
    <w:rPr>
      <w:rFonts w:eastAsiaTheme="minorEastAsia"/>
      <w:lang w:eastAsia="ru-RU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eastAsiaTheme="majorEastAsia" w:cstheme="majorBidi"/>
      <w:b/>
      <w:bCs/>
      <w:i/>
      <w:sz w:val="48"/>
      <w:szCs w:val="28"/>
      <w:lang w:eastAsia="en-US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eastAsiaTheme="majorEastAsia" w:cstheme="majorBidi"/>
      <w:b/>
      <w:bCs/>
      <w:i/>
      <w:color w:val="DC6900" w:themeColor="accent1"/>
      <w:sz w:val="32"/>
      <w:szCs w:val="26"/>
      <w:lang w:eastAsia="en-US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eastAsiaTheme="majorEastAsia" w:cstheme="majorBidi"/>
      <w:b/>
      <w:bCs/>
      <w:i/>
      <w:color w:val="DC6900" w:themeColor="accent1"/>
      <w:sz w:val="28"/>
      <w:lang w:eastAsia="en-US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eastAsiaTheme="majorEastAsia" w:cstheme="majorBidi"/>
      <w:bCs/>
      <w:i/>
      <w:iCs/>
      <w:color w:val="DC6900" w:themeColor="accent1"/>
      <w:sz w:val="28"/>
      <w:lang w:eastAsia="en-US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eastAsiaTheme="majorEastAsia" w:cstheme="majorBidi"/>
      <w:i/>
      <w:color w:val="DC6900" w:themeColor="text2"/>
      <w:sz w:val="24"/>
      <w:lang w:eastAsia="en-US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eastAsiaTheme="majorEastAsia" w:cstheme="majorBidi"/>
      <w:iCs/>
      <w:color w:val="DC6900" w:themeColor="text2"/>
      <w:sz w:val="24"/>
      <w:lang w:eastAsia="en-US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eastAsiaTheme="majorEastAsia" w:cstheme="majorBidi"/>
      <w:i/>
      <w:iCs/>
      <w:color w:val="404040" w:themeColor="text1" w:themeTint="BF"/>
      <w:sz w:val="20"/>
      <w:lang w:eastAsia="en-US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/>
      <w:i/>
      <w:noProof/>
      <w:color w:val="000000" w:themeColor="text1"/>
      <w:sz w:val="18"/>
      <w:szCs w:val="18"/>
      <w:lang w:eastAsia="en-US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eastAsiaTheme="minorHAnsi"/>
      <w:i/>
      <w:color w:val="FFFFFF" w:themeColor="background2"/>
      <w:sz w:val="48"/>
      <w:lang w:eastAsia="en-US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eastAsiaTheme="minorHAnsi"/>
      <w:b/>
      <w:i/>
      <w:color w:val="DC6900" w:themeColor="text2"/>
      <w:sz w:val="48"/>
      <w:lang w:eastAsia="en-US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eastAsiaTheme="minorHAnsi"/>
      <w:color w:val="000000" w:themeColor="text1"/>
      <w:lang w:eastAsia="en-US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eastAsiaTheme="minorHAnsi" w:cstheme="minorHAnsi"/>
      <w:color w:val="000000" w:themeColor="text1"/>
      <w:sz w:val="12"/>
      <w:szCs w:val="12"/>
      <w:lang w:eastAsia="en-US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/>
      <w:color w:val="00A5FF"/>
      <w:sz w:val="16"/>
      <w:lang w:eastAsia="en-US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eastAsiaTheme="minorHAnsi"/>
      <w:lang w:eastAsia="en-US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eastAsiaTheme="minorHAnsi"/>
      <w:lang w:eastAsia="en-US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eastAsiaTheme="minorHAnsi"/>
      <w:lang w:eastAsia="en-US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eastAsiaTheme="minorHAnsi"/>
      <w:lang w:eastAsia="en-US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eastAsiaTheme="minorHAnsi"/>
      <w:sz w:val="20"/>
      <w:lang w:eastAsia="en-US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eastAsiaTheme="minorHAnsi"/>
      <w:b/>
      <w:i/>
      <w:color w:val="DC6900" w:themeColor="text2"/>
      <w:sz w:val="32"/>
      <w:szCs w:val="32"/>
      <w:lang w:eastAsia="en-US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eastAsiaTheme="minorHAnsi"/>
      <w:b/>
      <w:i/>
      <w:color w:val="DC6900" w:themeColor="text2"/>
      <w:sz w:val="28"/>
      <w:szCs w:val="28"/>
      <w:lang w:eastAsia="en-US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eastAsiaTheme="minorHAnsi"/>
      <w:i/>
      <w:color w:val="DC6900" w:themeColor="text2"/>
      <w:sz w:val="28"/>
      <w:szCs w:val="28"/>
      <w:lang w:eastAsia="en-US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eastAsiaTheme="minorHAnsi"/>
      <w:i/>
      <w:sz w:val="18"/>
      <w:lang w:eastAsia="en-US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eastAsiaTheme="minorHAnsi"/>
      <w:sz w:val="48"/>
      <w:lang w:eastAsia="en-US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eastAsiaTheme="minorHAnsi"/>
      <w:i/>
      <w:color w:val="DC6900" w:themeColor="text2"/>
      <w:sz w:val="24"/>
      <w:szCs w:val="24"/>
      <w:lang w:eastAsia="en-US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eastAsiaTheme="minorHAnsi"/>
      <w:b/>
      <w:i/>
      <w:color w:val="DC6900" w:themeColor="text2"/>
      <w:sz w:val="28"/>
      <w:lang w:eastAsia="en-US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 w:cs="Times New Roman"/>
      <w:sz w:val="18"/>
      <w:szCs w:val="20"/>
      <w:lang w:val="en-CA" w:eastAsia="en-US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eastAsia="Times New Roman" w:cs="Times New Roman"/>
      <w:sz w:val="20"/>
      <w:szCs w:val="20"/>
      <w:lang w:eastAsia="en-US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 w:cs="Times New Roman"/>
      <w:szCs w:val="20"/>
      <w:lang w:eastAsia="en-US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 w:cs="Times New Roman"/>
      <w:b/>
      <w:color w:val="DC6900" w:themeColor="accent1"/>
      <w:szCs w:val="20"/>
      <w:lang w:eastAsia="en-US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eastAsiaTheme="minorHAnsi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eastAsiaTheme="minorHAnsi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/>
      <w:color w:val="000000" w:themeColor="text1"/>
      <w:sz w:val="16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eastAsiaTheme="minorHAnsi"/>
      <w:b/>
      <w:bCs/>
      <w:color w:val="DC6900" w:themeColor="accent1"/>
      <w:szCs w:val="18"/>
      <w:lang w:eastAsia="en-US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eastAsiaTheme="minorHAnsi"/>
      <w:lang w:eastAsia="en-US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eastAsiaTheme="minorHAnsi"/>
      <w:lang w:eastAsia="en-US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  <w:lang w:eastAsia="en-US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  <w:lang w:eastAsia="en-US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eastAsiaTheme="minorHAnsi"/>
      <w:sz w:val="20"/>
      <w:lang w:eastAsia="en-US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/>
      <w:i/>
      <w:iCs/>
      <w:color w:val="000000" w:themeColor="text1"/>
      <w:sz w:val="20"/>
      <w:lang w:eastAsia="en-US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/>
      <w:b/>
      <w:bCs/>
      <w:i/>
      <w:iCs/>
      <w:color w:val="DC6900" w:themeColor="accent1"/>
      <w:sz w:val="20"/>
      <w:lang w:eastAsia="en-US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mart Excel Them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Word Fonts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2018-10-17T12:11:00Z</dcterms:created>
  <dcterms:modified xsi:type="dcterms:W3CDTF">2018-10-17T12:12:00Z</dcterms:modified>
</cp:coreProperties>
</file>